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9A4" w:rsidRPr="00157F8D" w:rsidRDefault="00D159A4" w:rsidP="00D159A4">
      <w:pPr>
        <w:pStyle w:val="Pidipagina"/>
      </w:pPr>
      <w:proofErr w:type="spellStart"/>
      <w:r w:rsidRPr="00157F8D">
        <w:t>Prot</w:t>
      </w:r>
      <w:proofErr w:type="spellEnd"/>
      <w:r w:rsidRPr="00157F8D">
        <w:t xml:space="preserve">. </w:t>
      </w:r>
      <w:r>
        <w:t>n</w:t>
      </w:r>
      <w:r w:rsidRPr="00157F8D">
        <w:t>.</w:t>
      </w:r>
      <w:r>
        <w:t>9176/U/A36b</w:t>
      </w:r>
      <w:r w:rsidRPr="00157F8D">
        <w:t xml:space="preserve">                       </w:t>
      </w:r>
      <w:r>
        <w:t xml:space="preserve">  </w:t>
      </w:r>
      <w:r w:rsidRPr="00157F8D">
        <w:t xml:space="preserve">                                             </w:t>
      </w:r>
      <w:r>
        <w:tab/>
      </w:r>
      <w:r w:rsidRPr="00157F8D">
        <w:t xml:space="preserve"> Torino, </w:t>
      </w:r>
      <w:r>
        <w:t>16</w:t>
      </w:r>
      <w:r w:rsidRPr="00157F8D">
        <w:t xml:space="preserve"> </w:t>
      </w:r>
      <w:r>
        <w:t>settembre</w:t>
      </w:r>
      <w:r w:rsidRPr="00157F8D">
        <w:t xml:space="preserve"> 2011</w:t>
      </w:r>
    </w:p>
    <w:p w:rsidR="00D159A4" w:rsidRPr="00157F8D" w:rsidRDefault="00D159A4" w:rsidP="00D159A4">
      <w:pPr>
        <w:pStyle w:val="Pidipagina"/>
      </w:pPr>
      <w:r w:rsidRPr="00157F8D">
        <w:t xml:space="preserve">Circ. </w:t>
      </w:r>
      <w:r>
        <w:t>Reg. n. 347</w:t>
      </w:r>
    </w:p>
    <w:p w:rsidR="00D159A4" w:rsidRPr="00157F8D" w:rsidRDefault="00D159A4" w:rsidP="00D159A4">
      <w:pPr>
        <w:pStyle w:val="Pidipagina"/>
      </w:pPr>
    </w:p>
    <w:p w:rsidR="00D159A4" w:rsidRDefault="00D159A4" w:rsidP="00D159A4">
      <w:pPr>
        <w:jc w:val="right"/>
      </w:pPr>
      <w:r>
        <w:t>Ai Dirigenti Scolastici</w:t>
      </w:r>
    </w:p>
    <w:p w:rsidR="00D159A4" w:rsidRDefault="00D159A4" w:rsidP="00D159A4">
      <w:pPr>
        <w:jc w:val="right"/>
      </w:pPr>
      <w:r>
        <w:t>delle Istituzioni Scolastiche</w:t>
      </w:r>
    </w:p>
    <w:p w:rsidR="00D159A4" w:rsidRDefault="00D159A4" w:rsidP="00D159A4">
      <w:pPr>
        <w:jc w:val="right"/>
      </w:pPr>
      <w:r>
        <w:t>di ogni ordine e grado</w:t>
      </w:r>
    </w:p>
    <w:p w:rsidR="00D159A4" w:rsidRDefault="00D159A4" w:rsidP="00D159A4">
      <w:pPr>
        <w:jc w:val="right"/>
      </w:pPr>
      <w:r>
        <w:t>statali e paritarie del Piemonte</w:t>
      </w:r>
    </w:p>
    <w:p w:rsidR="00D159A4" w:rsidRPr="00157F8D" w:rsidRDefault="00D159A4" w:rsidP="00D159A4">
      <w:pPr>
        <w:jc w:val="right"/>
      </w:pPr>
      <w:r w:rsidRPr="00157F8D">
        <w:tab/>
      </w:r>
      <w:r w:rsidRPr="00157F8D">
        <w:tab/>
      </w:r>
      <w:r w:rsidRPr="00157F8D">
        <w:tab/>
      </w:r>
      <w:r w:rsidRPr="00157F8D">
        <w:tab/>
      </w:r>
      <w:r w:rsidRPr="00157F8D">
        <w:tab/>
      </w:r>
      <w:r w:rsidRPr="00157F8D">
        <w:tab/>
        <w:t xml:space="preserve">            </w:t>
      </w:r>
      <w:r w:rsidRPr="00157F8D">
        <w:tab/>
      </w:r>
      <w:r w:rsidRPr="00157F8D">
        <w:tab/>
      </w:r>
      <w:r w:rsidRPr="00157F8D">
        <w:tab/>
      </w:r>
    </w:p>
    <w:p w:rsidR="00D159A4" w:rsidRPr="00157F8D" w:rsidRDefault="00D159A4" w:rsidP="00D159A4">
      <w:pPr>
        <w:pStyle w:val="Pidipagina"/>
        <w:jc w:val="right"/>
      </w:pPr>
      <w:r>
        <w:t xml:space="preserve">e p.c. </w:t>
      </w:r>
      <w:r w:rsidRPr="00157F8D">
        <w:t xml:space="preserve">Ai </w:t>
      </w:r>
      <w:r>
        <w:t>D</w:t>
      </w:r>
      <w:r w:rsidRPr="00157F8D">
        <w:t xml:space="preserve">irigenti e </w:t>
      </w:r>
      <w:r>
        <w:t>ai R</w:t>
      </w:r>
      <w:r w:rsidRPr="00157F8D">
        <w:t>eggenti</w:t>
      </w:r>
    </w:p>
    <w:p w:rsidR="00D159A4" w:rsidRDefault="00D159A4" w:rsidP="00D159A4">
      <w:pPr>
        <w:pStyle w:val="Pidipagina"/>
        <w:jc w:val="right"/>
      </w:pPr>
      <w:r w:rsidRPr="00157F8D">
        <w:t xml:space="preserve">degli Ambiti Territoriali </w:t>
      </w:r>
    </w:p>
    <w:p w:rsidR="00D159A4" w:rsidRPr="00157F8D" w:rsidRDefault="00D159A4" w:rsidP="00D159A4">
      <w:pPr>
        <w:pStyle w:val="Pidipagina"/>
        <w:jc w:val="right"/>
      </w:pPr>
      <w:r>
        <w:t>del Piemonte</w:t>
      </w:r>
    </w:p>
    <w:p w:rsidR="00D159A4" w:rsidRPr="00157F8D" w:rsidRDefault="00D159A4" w:rsidP="00D159A4">
      <w:pPr>
        <w:pStyle w:val="Pidipagina"/>
        <w:jc w:val="right"/>
      </w:pPr>
    </w:p>
    <w:p w:rsidR="00D159A4" w:rsidRPr="00157F8D" w:rsidRDefault="00D159A4" w:rsidP="00D159A4">
      <w:pPr>
        <w:pStyle w:val="Pidipagina"/>
      </w:pPr>
    </w:p>
    <w:p w:rsidR="00D159A4" w:rsidRPr="00157F8D" w:rsidRDefault="00D159A4" w:rsidP="00D159A4">
      <w:pPr>
        <w:pStyle w:val="Pidipagina"/>
      </w:pPr>
      <w:r w:rsidRPr="00157F8D">
        <w:t>OGGETTO: Disturbi Specifici dell’ Apprendimento (DSA)</w:t>
      </w:r>
      <w:r>
        <w:t xml:space="preserve"> </w:t>
      </w:r>
    </w:p>
    <w:p w:rsidR="00D159A4" w:rsidRPr="00157F8D" w:rsidRDefault="00D159A4" w:rsidP="00D159A4">
      <w:pPr>
        <w:pStyle w:val="Pidipagina"/>
      </w:pPr>
    </w:p>
    <w:p w:rsidR="00D159A4" w:rsidRDefault="00D159A4" w:rsidP="00D159A4">
      <w:pPr>
        <w:pStyle w:val="Pidipagina"/>
        <w:jc w:val="both"/>
      </w:pPr>
      <w:r>
        <w:t>Si segnala che il MIUR,</w:t>
      </w:r>
      <w:r w:rsidRPr="000B5F01">
        <w:t xml:space="preserve"> </w:t>
      </w:r>
      <w:r>
        <w:t>al fine di dare attuazione alle norme previste dalla Legge 170/2010,  ha emanato il relativo decreto attuativo (n. 5669). Contestualmente sono state</w:t>
      </w:r>
      <w:r w:rsidRPr="000B5F01">
        <w:t xml:space="preserve"> </w:t>
      </w:r>
      <w:r>
        <w:t xml:space="preserve">pubblicate le </w:t>
      </w:r>
      <w:r w:rsidRPr="004D3344">
        <w:rPr>
          <w:i/>
        </w:rPr>
        <w:t>Linee Guida per il diritto allo studio degli alunni e degli studenti con disturbi specifici di apprendimento</w:t>
      </w:r>
      <w:r>
        <w:t>, allegate al DM 12 luglio 2011, che forniscono indicazioni su diversi aspetti del problema:</w:t>
      </w:r>
    </w:p>
    <w:p w:rsidR="00D159A4" w:rsidRDefault="00D159A4" w:rsidP="00D159A4">
      <w:pPr>
        <w:pStyle w:val="Pidipagina"/>
        <w:numPr>
          <w:ilvl w:val="0"/>
          <w:numId w:val="1"/>
        </w:numPr>
        <w:jc w:val="both"/>
      </w:pPr>
      <w:r>
        <w:t>i Disturbi Specifici di Apprendimento,</w:t>
      </w:r>
    </w:p>
    <w:p w:rsidR="00D159A4" w:rsidRDefault="00D159A4" w:rsidP="00D159A4">
      <w:pPr>
        <w:pStyle w:val="Pidipagina"/>
        <w:numPr>
          <w:ilvl w:val="0"/>
          <w:numId w:val="1"/>
        </w:numPr>
        <w:jc w:val="both"/>
      </w:pPr>
      <w:r>
        <w:t xml:space="preserve">l’osservazione in classe dei vari ambiti di apprendimento interessati dal disturbo (lettura, scrittura, calcolo), </w:t>
      </w:r>
    </w:p>
    <w:p w:rsidR="00D159A4" w:rsidRDefault="00D159A4" w:rsidP="00D159A4">
      <w:pPr>
        <w:pStyle w:val="Pidipagina"/>
        <w:numPr>
          <w:ilvl w:val="0"/>
          <w:numId w:val="1"/>
        </w:numPr>
        <w:jc w:val="both"/>
      </w:pPr>
      <w:r>
        <w:t xml:space="preserve">la didattica individualizzata e personalizzata, </w:t>
      </w:r>
    </w:p>
    <w:p w:rsidR="00D159A4" w:rsidRDefault="00D159A4" w:rsidP="00D159A4">
      <w:pPr>
        <w:pStyle w:val="Pidipagina"/>
        <w:numPr>
          <w:ilvl w:val="0"/>
          <w:numId w:val="1"/>
        </w:numPr>
        <w:jc w:val="both"/>
      </w:pPr>
      <w:r>
        <w:t xml:space="preserve">la didattica adeguata agli alunni con DSA, </w:t>
      </w:r>
    </w:p>
    <w:p w:rsidR="00D159A4" w:rsidRDefault="00D159A4" w:rsidP="00D159A4">
      <w:pPr>
        <w:pStyle w:val="Pidipagina"/>
        <w:numPr>
          <w:ilvl w:val="0"/>
          <w:numId w:val="1"/>
        </w:numPr>
        <w:jc w:val="both"/>
      </w:pPr>
      <w:r>
        <w:t xml:space="preserve">la dimensione relazionale, </w:t>
      </w:r>
    </w:p>
    <w:p w:rsidR="00D159A4" w:rsidRDefault="00D159A4" w:rsidP="00D159A4">
      <w:pPr>
        <w:pStyle w:val="Pidipagina"/>
        <w:numPr>
          <w:ilvl w:val="0"/>
          <w:numId w:val="1"/>
        </w:numPr>
        <w:jc w:val="both"/>
      </w:pPr>
      <w:r>
        <w:t>compiti e funzioni,</w:t>
      </w:r>
    </w:p>
    <w:p w:rsidR="00D159A4" w:rsidRDefault="00D159A4" w:rsidP="00D159A4">
      <w:pPr>
        <w:pStyle w:val="Pidipagina"/>
        <w:numPr>
          <w:ilvl w:val="0"/>
          <w:numId w:val="1"/>
        </w:numPr>
        <w:jc w:val="both"/>
      </w:pPr>
      <w:r>
        <w:t>la formazione</w:t>
      </w:r>
    </w:p>
    <w:p w:rsidR="00D159A4" w:rsidRDefault="00D159A4" w:rsidP="00D159A4">
      <w:pPr>
        <w:pStyle w:val="Pidipagina"/>
        <w:jc w:val="both"/>
      </w:pPr>
      <w:r>
        <w:t>con l’intento di garantire e promuovere il successo formativo di alunni e studenti con DSA.</w:t>
      </w:r>
    </w:p>
    <w:p w:rsidR="00D159A4" w:rsidRDefault="00D159A4" w:rsidP="00D159A4">
      <w:pPr>
        <w:pStyle w:val="Pidipagina"/>
        <w:jc w:val="both"/>
      </w:pPr>
    </w:p>
    <w:p w:rsidR="00D159A4" w:rsidRDefault="00D159A4" w:rsidP="00D159A4">
      <w:pPr>
        <w:pStyle w:val="Pidipagina"/>
        <w:jc w:val="both"/>
      </w:pPr>
      <w:r>
        <w:t xml:space="preserve">Si raccomanda, pertanto, l’utilizzo delle Linee Guida (allegate alla presente comunicazione) per facilitare l’attuazione di mirati interventi </w:t>
      </w:r>
      <w:proofErr w:type="spellStart"/>
      <w:r>
        <w:t>pedagogico-didattici</w:t>
      </w:r>
      <w:proofErr w:type="spellEnd"/>
      <w:r>
        <w:t xml:space="preserve"> e attivare adeguate modalità di valutazione.</w:t>
      </w:r>
    </w:p>
    <w:p w:rsidR="00D159A4" w:rsidRDefault="00D159A4" w:rsidP="00D159A4">
      <w:pPr>
        <w:pStyle w:val="Pidipagina"/>
        <w:jc w:val="both"/>
      </w:pPr>
    </w:p>
    <w:p w:rsidR="00D159A4" w:rsidRDefault="00D159A4" w:rsidP="00D159A4">
      <w:pPr>
        <w:pStyle w:val="Pidipagina"/>
        <w:jc w:val="both"/>
      </w:pPr>
      <w:r>
        <w:t>Si ritiene inoltre opportuno diramare la determinazione n. 547 del 21 luglio 2011 della Regione Piemonte – Direzione Sanità – che detta puntuali chiarimenti in merito alla validità delle diagnosi rilasciate ad alunni con DSA:</w:t>
      </w:r>
    </w:p>
    <w:p w:rsidR="00D159A4" w:rsidRDefault="00D159A4" w:rsidP="00D159A4">
      <w:pPr>
        <w:pStyle w:val="Pidipagina"/>
        <w:jc w:val="both"/>
      </w:pPr>
    </w:p>
    <w:p w:rsidR="00D159A4" w:rsidRPr="004B34A6" w:rsidRDefault="00D159A4" w:rsidP="00D159A4">
      <w:pPr>
        <w:pStyle w:val="Pidipagina"/>
        <w:jc w:val="both"/>
        <w:rPr>
          <w:i/>
        </w:rPr>
      </w:pPr>
      <w:r>
        <w:t>“ ….</w:t>
      </w:r>
      <w:r w:rsidRPr="004B34A6">
        <w:rPr>
          <w:i/>
        </w:rPr>
        <w:t xml:space="preserve"> per quanto stabilito dalla L. 170/2010 e dalle </w:t>
      </w:r>
      <w:proofErr w:type="spellStart"/>
      <w:r w:rsidRPr="004B34A6">
        <w:rPr>
          <w:i/>
        </w:rPr>
        <w:t>DD.GG.RR</w:t>
      </w:r>
      <w:proofErr w:type="spellEnd"/>
      <w:r w:rsidRPr="004B34A6">
        <w:rPr>
          <w:i/>
        </w:rPr>
        <w:t xml:space="preserve">. n. 34-13176 del 1 febbraio 2010, n. 18-10723 del 9 febbraio 2009 e n. 13-10889 del 2 marzo 2009 e dalla raccomandazione su “Disturbi Specifici dell’Apprendimento” predisposta dalla Regione Piemonte e inviata a tutte le ASR in data 13/07/2009 </w:t>
      </w:r>
      <w:r w:rsidRPr="004329D6">
        <w:rPr>
          <w:b/>
          <w:i/>
        </w:rPr>
        <w:t>le UMVD minori hanno il compito di vigilare sulla correttezza e completezza del percorso clinico che ha portato alla formulazione della diagnosi di DSA</w:t>
      </w:r>
      <w:r w:rsidRPr="004B34A6">
        <w:rPr>
          <w:i/>
        </w:rPr>
        <w:t>.</w:t>
      </w:r>
    </w:p>
    <w:p w:rsidR="00D159A4" w:rsidRPr="004B34A6" w:rsidRDefault="00D159A4" w:rsidP="00D159A4">
      <w:pPr>
        <w:pStyle w:val="Pidipagina"/>
        <w:jc w:val="both"/>
        <w:rPr>
          <w:i/>
        </w:rPr>
      </w:pPr>
      <w:r w:rsidRPr="004B34A6">
        <w:rPr>
          <w:i/>
        </w:rPr>
        <w:lastRenderedPageBreak/>
        <w:t xml:space="preserve">Pertanto, al fine di non impegnare eccessivamente il servizio sanitario regionale e di non sottoporre nuovamente i minori ad un gravoso percorso di valutazione – qualora già acquisito dalla famiglia attraverso professionisti di fiducia, </w:t>
      </w:r>
      <w:r w:rsidRPr="004329D6">
        <w:rPr>
          <w:b/>
          <w:i/>
        </w:rPr>
        <w:t>le UMVD minori acquisiranno la documentazione presentata dai genitori e convalideranno la stessa, formulando la diagnosi utile al percorso scolastico del minore ai sensi della L. 170/2010</w:t>
      </w:r>
      <w:r w:rsidRPr="004B34A6">
        <w:rPr>
          <w:i/>
        </w:rPr>
        <w:t>.</w:t>
      </w:r>
    </w:p>
    <w:p w:rsidR="00D159A4" w:rsidRPr="004B34A6" w:rsidRDefault="00D159A4" w:rsidP="00D159A4">
      <w:pPr>
        <w:pStyle w:val="Pidipagina"/>
        <w:jc w:val="both"/>
        <w:rPr>
          <w:i/>
        </w:rPr>
      </w:pPr>
      <w:r w:rsidRPr="004B34A6">
        <w:rPr>
          <w:i/>
        </w:rPr>
        <w:t>La documentazione necessaria per formulare la diagnosi di DSA deve essere sufficientemente recente e compatibile con la modificabilità del disturbo nel tempo e tenere conto delle indicazioni cliniche e scientifiche attuali:</w:t>
      </w:r>
    </w:p>
    <w:p w:rsidR="00D159A4" w:rsidRPr="004B34A6" w:rsidRDefault="00D159A4" w:rsidP="00D159A4">
      <w:pPr>
        <w:pStyle w:val="Pidipagina"/>
        <w:numPr>
          <w:ilvl w:val="0"/>
          <w:numId w:val="2"/>
        </w:numPr>
        <w:jc w:val="both"/>
        <w:rPr>
          <w:i/>
        </w:rPr>
      </w:pPr>
      <w:r w:rsidRPr="004B34A6">
        <w:rPr>
          <w:i/>
        </w:rPr>
        <w:t>Valutazione delle competenze cognitive con scale standardizzate che dimostrino il Q.I. nella norma.</w:t>
      </w:r>
    </w:p>
    <w:p w:rsidR="00D159A4" w:rsidRPr="004B34A6" w:rsidRDefault="00D159A4" w:rsidP="00D159A4">
      <w:pPr>
        <w:pStyle w:val="Pidipagina"/>
        <w:numPr>
          <w:ilvl w:val="0"/>
          <w:numId w:val="2"/>
        </w:numPr>
        <w:jc w:val="both"/>
        <w:rPr>
          <w:i/>
        </w:rPr>
      </w:pPr>
      <w:r w:rsidRPr="004B34A6">
        <w:rPr>
          <w:i/>
        </w:rPr>
        <w:t>Esclusione della presenza di patologie o anomalie sensoriali, neurologiche, cognitive e di gravi psicopatologie valutata attraverso test standardizzati e validati dalla comunità scientifica.</w:t>
      </w:r>
    </w:p>
    <w:p w:rsidR="00D159A4" w:rsidRPr="004B34A6" w:rsidRDefault="00D159A4" w:rsidP="00D159A4">
      <w:pPr>
        <w:pStyle w:val="Pidipagina"/>
        <w:numPr>
          <w:ilvl w:val="0"/>
          <w:numId w:val="2"/>
        </w:numPr>
        <w:jc w:val="both"/>
        <w:rPr>
          <w:i/>
        </w:rPr>
      </w:pPr>
      <w:r w:rsidRPr="004B34A6">
        <w:rPr>
          <w:i/>
        </w:rPr>
        <w:t>Presenza delle seguenti valutazioni:</w:t>
      </w:r>
    </w:p>
    <w:p w:rsidR="00D159A4" w:rsidRPr="004B34A6" w:rsidRDefault="00D159A4" w:rsidP="00D159A4">
      <w:pPr>
        <w:pStyle w:val="Pidipagina"/>
        <w:numPr>
          <w:ilvl w:val="1"/>
          <w:numId w:val="2"/>
        </w:numPr>
        <w:jc w:val="both"/>
        <w:rPr>
          <w:i/>
        </w:rPr>
      </w:pPr>
      <w:r w:rsidRPr="00BF4693">
        <w:rPr>
          <w:b/>
          <w:i/>
        </w:rPr>
        <w:t>per la dislessia</w:t>
      </w:r>
      <w:r w:rsidRPr="004B34A6">
        <w:rPr>
          <w:i/>
        </w:rPr>
        <w:t>: parametro di velocità di lettura di parole, non-parole, brano (valore espresso in sillabe/sec.) – prestazione inferiore a -2D.S., parametro di correttezza di lettura di parole, non parole, brano – prestazione inferiore al 5° percentile;</w:t>
      </w:r>
    </w:p>
    <w:p w:rsidR="00D159A4" w:rsidRPr="004B34A6" w:rsidRDefault="00D159A4" w:rsidP="00D159A4">
      <w:pPr>
        <w:pStyle w:val="Pidipagina"/>
        <w:numPr>
          <w:ilvl w:val="1"/>
          <w:numId w:val="2"/>
        </w:numPr>
        <w:jc w:val="both"/>
        <w:rPr>
          <w:i/>
        </w:rPr>
      </w:pPr>
      <w:r w:rsidRPr="00BF4693">
        <w:rPr>
          <w:b/>
          <w:i/>
        </w:rPr>
        <w:t xml:space="preserve">per la </w:t>
      </w:r>
      <w:proofErr w:type="spellStart"/>
      <w:r w:rsidRPr="00BF4693">
        <w:rPr>
          <w:b/>
          <w:i/>
        </w:rPr>
        <w:t>disortografia</w:t>
      </w:r>
      <w:proofErr w:type="spellEnd"/>
      <w:r w:rsidRPr="004B34A6">
        <w:rPr>
          <w:i/>
        </w:rPr>
        <w:t>: parametro di correttezza della scrittura di parole, non parole, frasi omofone o brano – prestazione inferiore al 5° percentile;</w:t>
      </w:r>
    </w:p>
    <w:p w:rsidR="00D159A4" w:rsidRPr="004B34A6" w:rsidRDefault="00D159A4" w:rsidP="00D159A4">
      <w:pPr>
        <w:pStyle w:val="Pidipagina"/>
        <w:numPr>
          <w:ilvl w:val="1"/>
          <w:numId w:val="2"/>
        </w:numPr>
        <w:jc w:val="both"/>
        <w:rPr>
          <w:i/>
        </w:rPr>
      </w:pPr>
      <w:r w:rsidRPr="00BF4693">
        <w:rPr>
          <w:b/>
          <w:i/>
        </w:rPr>
        <w:t>per la disgrafia</w:t>
      </w:r>
      <w:r w:rsidRPr="004B34A6">
        <w:rPr>
          <w:i/>
        </w:rPr>
        <w:t xml:space="preserve">: parametro di </w:t>
      </w:r>
      <w:proofErr w:type="spellStart"/>
      <w:r w:rsidRPr="004B34A6">
        <w:rPr>
          <w:i/>
        </w:rPr>
        <w:t>fluenza</w:t>
      </w:r>
      <w:proofErr w:type="spellEnd"/>
      <w:r w:rsidRPr="004B34A6">
        <w:rPr>
          <w:i/>
        </w:rPr>
        <w:t xml:space="preserve"> di scrittura – prestazione inferiore a -2D.S., e analisi qualitativa della postura, impugnatura e caratteristiche del segno grafico;</w:t>
      </w:r>
    </w:p>
    <w:p w:rsidR="00D159A4" w:rsidRDefault="00D159A4" w:rsidP="00D159A4">
      <w:pPr>
        <w:pStyle w:val="Pidipagina"/>
        <w:numPr>
          <w:ilvl w:val="1"/>
          <w:numId w:val="2"/>
        </w:numPr>
        <w:jc w:val="both"/>
      </w:pPr>
      <w:r w:rsidRPr="00BF4693">
        <w:rPr>
          <w:b/>
          <w:i/>
        </w:rPr>
        <w:t xml:space="preserve">per la </w:t>
      </w:r>
      <w:proofErr w:type="spellStart"/>
      <w:r w:rsidRPr="00BF4693">
        <w:rPr>
          <w:b/>
          <w:i/>
        </w:rPr>
        <w:t>discalculia</w:t>
      </w:r>
      <w:proofErr w:type="spellEnd"/>
      <w:r w:rsidRPr="004B34A6">
        <w:rPr>
          <w:i/>
        </w:rPr>
        <w:t>: parametri di correttezza e velocità delle componenti di cognizione numerica, procedure esecutive e abilità di calcolo – prestazione inferiore a -2D.S. dalla fine della 3^ scuola primaria</w:t>
      </w:r>
      <w:r>
        <w:t>”.</w:t>
      </w:r>
    </w:p>
    <w:p w:rsidR="00D159A4" w:rsidRDefault="00D159A4" w:rsidP="00D159A4">
      <w:pPr>
        <w:pStyle w:val="Pidipagina"/>
        <w:jc w:val="both"/>
      </w:pPr>
    </w:p>
    <w:p w:rsidR="00D159A4" w:rsidRPr="00157F8D" w:rsidRDefault="00D159A4" w:rsidP="00D159A4">
      <w:pPr>
        <w:pStyle w:val="Pidipagina"/>
        <w:jc w:val="both"/>
      </w:pPr>
      <w:r>
        <w:t>S</w:t>
      </w:r>
      <w:r w:rsidRPr="00157F8D">
        <w:t xml:space="preserve">i prega di diffondere </w:t>
      </w:r>
      <w:r>
        <w:t xml:space="preserve">l’informazione </w:t>
      </w:r>
      <w:r w:rsidRPr="00157F8D">
        <w:t xml:space="preserve">agli insegnanti </w:t>
      </w:r>
      <w:r>
        <w:t>e alle famiglie</w:t>
      </w:r>
      <w:r w:rsidRPr="00157F8D">
        <w:t>,</w:t>
      </w:r>
      <w:r>
        <w:t xml:space="preserve"> al fine di favorire la collaborazione e l’applicazione tempestiva di strategie</w:t>
      </w:r>
      <w:r w:rsidRPr="00157F8D">
        <w:t xml:space="preserve"> </w:t>
      </w:r>
      <w:r>
        <w:t xml:space="preserve">didattiche che </w:t>
      </w:r>
      <w:r w:rsidRPr="00157F8D">
        <w:t>“</w:t>
      </w:r>
      <w:r w:rsidRPr="00157F8D">
        <w:rPr>
          <w:i/>
          <w:iCs/>
        </w:rPr>
        <w:t>potranno favorire il successo scolastico e ridurre i disagi relazionali ed emozionali”</w:t>
      </w:r>
      <w:r w:rsidRPr="00157F8D">
        <w:t>.</w:t>
      </w:r>
    </w:p>
    <w:p w:rsidR="00D159A4" w:rsidRPr="00157F8D" w:rsidRDefault="00D159A4" w:rsidP="00D159A4">
      <w:pPr>
        <w:pStyle w:val="Pidipagina"/>
      </w:pPr>
    </w:p>
    <w:p w:rsidR="00D159A4" w:rsidRPr="00157F8D" w:rsidRDefault="00D159A4" w:rsidP="00D159A4">
      <w:pPr>
        <w:pStyle w:val="Pidipagina"/>
        <w:tabs>
          <w:tab w:val="clear" w:pos="4819"/>
          <w:tab w:val="clear" w:pos="9638"/>
          <w:tab w:val="left" w:pos="6525"/>
        </w:tabs>
      </w:pPr>
      <w:r w:rsidRPr="00157F8D">
        <w:rPr>
          <w:sz w:val="20"/>
          <w:szCs w:val="20"/>
        </w:rPr>
        <w:t>Allegati:</w:t>
      </w:r>
      <w:r w:rsidRPr="00157F8D">
        <w:tab/>
        <w:t>IL DIRIGENTE</w:t>
      </w:r>
    </w:p>
    <w:p w:rsidR="00D159A4" w:rsidRPr="00157F8D" w:rsidRDefault="00D159A4" w:rsidP="00D159A4">
      <w:pPr>
        <w:pStyle w:val="Pidipagina"/>
        <w:tabs>
          <w:tab w:val="clear" w:pos="4819"/>
          <w:tab w:val="clear" w:pos="9638"/>
          <w:tab w:val="left" w:pos="7200"/>
        </w:tabs>
      </w:pPr>
      <w:r w:rsidRPr="003C1364">
        <w:rPr>
          <w:sz w:val="20"/>
          <w:szCs w:val="20"/>
        </w:rPr>
        <w:t xml:space="preserve">Linee Guida                                                                                         </w:t>
      </w:r>
      <w:r>
        <w:rPr>
          <w:sz w:val="20"/>
          <w:szCs w:val="20"/>
        </w:rPr>
        <w:t xml:space="preserve">                      </w:t>
      </w:r>
      <w:r w:rsidRPr="00157F8D">
        <w:t xml:space="preserve">Stefano </w:t>
      </w:r>
      <w:proofErr w:type="spellStart"/>
      <w:r w:rsidRPr="00157F8D">
        <w:t>Suraniti</w:t>
      </w:r>
      <w:proofErr w:type="spellEnd"/>
    </w:p>
    <w:p w:rsidR="00D159A4" w:rsidRPr="00157F8D" w:rsidRDefault="00D159A4" w:rsidP="00D159A4">
      <w:pPr>
        <w:pStyle w:val="Pidipagina"/>
        <w:tabs>
          <w:tab w:val="clear" w:pos="4819"/>
          <w:tab w:val="clear" w:pos="9638"/>
          <w:tab w:val="left" w:pos="6225"/>
        </w:tabs>
      </w:pPr>
      <w:r w:rsidRPr="00157F8D">
        <w:tab/>
      </w:r>
    </w:p>
    <w:p w:rsidR="00D159A4" w:rsidRPr="00850135" w:rsidRDefault="00D159A4" w:rsidP="00D159A4"/>
    <w:p w:rsidR="000A359A" w:rsidRDefault="000A359A"/>
    <w:sectPr w:rsidR="000A359A">
      <w:headerReference w:type="default" r:id="rId5"/>
      <w:foot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B46" w:rsidRPr="00ED0FB9" w:rsidRDefault="00D159A4" w:rsidP="00936B46">
    <w:pPr>
      <w:pStyle w:val="WW-Testopreformattato11"/>
      <w:rPr>
        <w:rFonts w:ascii="Times New Roman" w:hAnsi="Times New Roman" w:cs="Times New Roman"/>
        <w:sz w:val="18"/>
        <w:szCs w:val="18"/>
      </w:rPr>
    </w:pPr>
    <w:r w:rsidRPr="00ED0FB9">
      <w:rPr>
        <w:rFonts w:ascii="Times New Roman" w:hAnsi="Times New Roman" w:cs="Times New Roman"/>
        <w:sz w:val="18"/>
        <w:szCs w:val="18"/>
      </w:rPr>
      <w:t xml:space="preserve">Ministero dell’Istruzione, dell’Università e della Ricerca – Ufficio </w:t>
    </w:r>
    <w:r w:rsidRPr="00ED0FB9">
      <w:rPr>
        <w:rFonts w:ascii="Times New Roman" w:hAnsi="Times New Roman" w:cs="Times New Roman"/>
        <w:sz w:val="18"/>
        <w:szCs w:val="18"/>
      </w:rPr>
      <w:t>Scolastico Regionale per il Piemonte</w:t>
    </w:r>
    <w:r w:rsidRPr="00ED0FB9">
      <w:rPr>
        <w:rFonts w:ascii="Times New Roman" w:hAnsi="Times New Roman" w:cs="Times New Roman"/>
        <w:sz w:val="18"/>
        <w:szCs w:val="18"/>
      </w:rPr>
      <w:tab/>
    </w:r>
    <w:r w:rsidRPr="00ED0FB9">
      <w:rPr>
        <w:rFonts w:ascii="Times New Roman" w:hAnsi="Times New Roman" w:cs="Times New Roman"/>
        <w:sz w:val="18"/>
        <w:szCs w:val="18"/>
      </w:rPr>
      <w:tab/>
    </w:r>
    <w:r w:rsidRPr="00ED0FB9">
      <w:rPr>
        <w:rFonts w:ascii="Times New Roman" w:hAnsi="Times New Roman" w:cs="Times New Roman"/>
        <w:sz w:val="18"/>
        <w:szCs w:val="18"/>
      </w:rPr>
      <w:tab/>
    </w:r>
  </w:p>
  <w:p w:rsidR="00936B46" w:rsidRDefault="00D159A4" w:rsidP="00936B46">
    <w:pPr>
      <w:pStyle w:val="WW-Testopreformattato11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 xml:space="preserve">Via Pietro </w:t>
    </w:r>
    <w:proofErr w:type="spellStart"/>
    <w:r>
      <w:rPr>
        <w:rFonts w:ascii="Times New Roman" w:hAnsi="Times New Roman" w:cs="Times New Roman"/>
        <w:sz w:val="18"/>
        <w:szCs w:val="18"/>
      </w:rPr>
      <w:t>Micca</w:t>
    </w:r>
    <w:proofErr w:type="spellEnd"/>
    <w:r w:rsidRPr="00ED0FB9">
      <w:rPr>
        <w:rFonts w:ascii="Times New Roman" w:hAnsi="Times New Roman" w:cs="Times New Roman"/>
        <w:sz w:val="18"/>
        <w:szCs w:val="18"/>
      </w:rPr>
      <w:t xml:space="preserve"> 20 - 10122 Torino</w:t>
    </w:r>
  </w:p>
  <w:p w:rsidR="00936B46" w:rsidRPr="00ED0FB9" w:rsidRDefault="00D159A4" w:rsidP="00936B46">
    <w:pPr>
      <w:pStyle w:val="WW-Testopreformattato11"/>
      <w:rPr>
        <w:rFonts w:ascii="Times New Roman" w:hAnsi="Times New Roman" w:cs="Times New Roman"/>
        <w:sz w:val="18"/>
        <w:szCs w:val="18"/>
      </w:rPr>
    </w:pPr>
    <w:r w:rsidRPr="00ED0FB9">
      <w:rPr>
        <w:rFonts w:ascii="Times New Roman" w:hAnsi="Times New Roman" w:cs="Times New Roman"/>
        <w:sz w:val="18"/>
        <w:szCs w:val="18"/>
      </w:rPr>
      <w:t xml:space="preserve">Ufficio </w:t>
    </w:r>
    <w:proofErr w:type="spellStart"/>
    <w:r w:rsidRPr="00ED0FB9">
      <w:rPr>
        <w:rFonts w:ascii="Times New Roman" w:hAnsi="Times New Roman" w:cs="Times New Roman"/>
        <w:sz w:val="18"/>
        <w:szCs w:val="18"/>
      </w:rPr>
      <w:t>VI</w:t>
    </w:r>
    <w:proofErr w:type="spellEnd"/>
    <w:r w:rsidRPr="00ED0FB9">
      <w:rPr>
        <w:rFonts w:ascii="Times New Roman" w:hAnsi="Times New Roman" w:cs="Times New Roman"/>
        <w:sz w:val="18"/>
        <w:szCs w:val="18"/>
      </w:rPr>
      <w:t xml:space="preserve"> – Diritto allo studio e comunicazione</w:t>
    </w:r>
  </w:p>
  <w:p w:rsidR="00936B46" w:rsidRDefault="00D159A4" w:rsidP="00936B46">
    <w:pPr>
      <w:pStyle w:val="WW-Testopreformattato11"/>
      <w:rPr>
        <w:rFonts w:ascii="Times New Roman" w:hAnsi="Times New Roman" w:cs="Times New Roman"/>
        <w:sz w:val="18"/>
        <w:szCs w:val="18"/>
      </w:rPr>
    </w:pPr>
    <w:r w:rsidRPr="00ED0FB9">
      <w:rPr>
        <w:rFonts w:ascii="Times New Roman" w:hAnsi="Times New Roman" w:cs="Times New Roman"/>
        <w:sz w:val="18"/>
        <w:szCs w:val="18"/>
      </w:rPr>
      <w:t xml:space="preserve">Dirigente Stefano </w:t>
    </w:r>
    <w:proofErr w:type="spellStart"/>
    <w:r w:rsidRPr="00ED0FB9">
      <w:rPr>
        <w:rFonts w:ascii="Times New Roman" w:hAnsi="Times New Roman" w:cs="Times New Roman"/>
        <w:sz w:val="18"/>
        <w:szCs w:val="18"/>
      </w:rPr>
      <w:t>Suraniti</w:t>
    </w:r>
    <w:proofErr w:type="spellEnd"/>
  </w:p>
  <w:p w:rsidR="00936B46" w:rsidRPr="00ED0FB9" w:rsidRDefault="00D159A4" w:rsidP="00936B46">
    <w:pPr>
      <w:pStyle w:val="WW-Testopreformattato11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 xml:space="preserve">Rif.: Concetta </w:t>
    </w:r>
    <w:proofErr w:type="spellStart"/>
    <w:r>
      <w:rPr>
        <w:rFonts w:ascii="Times New Roman" w:hAnsi="Times New Roman" w:cs="Times New Roman"/>
        <w:sz w:val="18"/>
        <w:szCs w:val="18"/>
      </w:rPr>
      <w:t>Mascali</w:t>
    </w:r>
    <w:proofErr w:type="spellEnd"/>
  </w:p>
  <w:p w:rsidR="00936B46" w:rsidRPr="00ED0FB9" w:rsidRDefault="00D159A4" w:rsidP="00936B46">
    <w:pPr>
      <w:pStyle w:val="Pidipagina"/>
      <w:rPr>
        <w:sz w:val="18"/>
        <w:szCs w:val="18"/>
      </w:rPr>
    </w:pPr>
    <w:r w:rsidRPr="00ED0FB9">
      <w:rPr>
        <w:sz w:val="18"/>
        <w:szCs w:val="18"/>
      </w:rPr>
      <w:t xml:space="preserve">Tel 011 5163605 fax 011 5163658 e-mail: </w:t>
    </w:r>
    <w:hyperlink r:id="rId1" w:history="1">
      <w:r w:rsidRPr="00ED0FB9">
        <w:rPr>
          <w:rStyle w:val="Collegamentoipertestuale"/>
          <w:sz w:val="18"/>
          <w:szCs w:val="18"/>
        </w:rPr>
        <w:t>concetta.mascali@istruzione.it</w:t>
      </w:r>
    </w:hyperlink>
  </w:p>
  <w:p w:rsidR="00667FDC" w:rsidRPr="00936B46" w:rsidRDefault="00D159A4" w:rsidP="00936B46">
    <w:pPr>
      <w:pStyle w:val="Pidipagina"/>
      <w:rPr>
        <w:szCs w:val="18"/>
      </w:rPr>
    </w:pPr>
    <w:hyperlink r:id="rId2" w:history="1">
      <w:r w:rsidRPr="00ED0FB9">
        <w:rPr>
          <w:rStyle w:val="Collegamentoipertestuale"/>
          <w:sz w:val="18"/>
          <w:szCs w:val="18"/>
        </w:rPr>
        <w:t>www.piemonte.istruzione.it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7E79" w:rsidRDefault="00D159A4" w:rsidP="00A0079C">
    <w:pPr>
      <w:pStyle w:val="Intestazione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79pt;height:111pt">
          <v:imagedata r:id="rId1" o:title="logo_definitivo_alta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540B1"/>
    <w:multiLevelType w:val="hybridMultilevel"/>
    <w:tmpl w:val="357C304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88B35A0"/>
    <w:multiLevelType w:val="hybridMultilevel"/>
    <w:tmpl w:val="A1FE201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159A4"/>
    <w:rsid w:val="000A359A"/>
    <w:rsid w:val="00D159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159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D159A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D159A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D159A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D159A4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rsid w:val="00D159A4"/>
    <w:rPr>
      <w:color w:val="0000FF"/>
      <w:u w:val="single"/>
    </w:rPr>
  </w:style>
  <w:style w:type="paragraph" w:customStyle="1" w:styleId="WW-Testopreformattato11">
    <w:name w:val="WW-Testo preformattato11"/>
    <w:basedOn w:val="Normale"/>
    <w:rsid w:val="00D159A4"/>
    <w:pPr>
      <w:suppressAutoHyphens/>
    </w:pPr>
    <w:rPr>
      <w:rFonts w:ascii="Courier New" w:eastAsia="Courier New" w:hAnsi="Courier New" w:cs="Courier New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iemonte.istruzione.it/" TargetMode="External"/><Relationship Id="rId1" Type="http://schemas.openxmlformats.org/officeDocument/2006/relationships/hyperlink" Target="mailto:concetta.mascali@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637</Words>
  <Characters>3632</Characters>
  <Application>Microsoft Office Word</Application>
  <DocSecurity>0</DocSecurity>
  <Lines>30</Lines>
  <Paragraphs>8</Paragraphs>
  <ScaleCrop>false</ScaleCrop>
  <Company/>
  <LinksUpToDate>false</LinksUpToDate>
  <CharactersWithSpaces>4261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gabriella</dc:creator>
  <cp:lastModifiedBy>maria gabriella</cp:lastModifiedBy>
  <cp:revision>1</cp:revision>
  <dcterms:created xsi:type="dcterms:W3CDTF">2011-09-21T20:22:00Z</dcterms:created>
  <dcterms:modified xsi:type="dcterms:W3CDTF">2011-09-21T20:26:00Z</dcterms:modified>
</cp:coreProperties>
</file>