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  <w:t xml:space="preserve">mac                                                                                                                            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5181600</wp:posOffset>
            </wp:positionH>
            <wp:positionV relativeFrom="line">
              <wp:posOffset>-422910</wp:posOffset>
            </wp:positionV>
            <wp:extent cx="784860" cy="883920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-114300</wp:posOffset>
            </wp:positionH>
            <wp:positionV relativeFrom="line">
              <wp:posOffset>-335280</wp:posOffset>
            </wp:positionV>
            <wp:extent cx="473075" cy="473075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  <w:t xml:space="preserve">                                                   </w:t>
      </w: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  <w:t>I.C.  “ A. MANZONI”</w:t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  <w:t xml:space="preserve">                                         </w:t>
      </w: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  <w:t>C.so Marconi, n. 28;  - 10125 Torino</w:t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p>
      <w:pPr>
        <w:pStyle w:val="style0"/>
        <w:keepNext/>
        <w:suppressAutoHyphens w:val="true"/>
        <w:spacing w:after="0" w:before="0" w:line="100" w:lineRule="atLeast"/>
      </w:pPr>
      <w:r>
        <w:rPr>
          <w:rFonts w:ascii="Verdana" w:cs="Times New Roman" w:eastAsia="Times New Roman" w:hAnsi="Verdana"/>
          <w:b/>
          <w:sz w:val="18"/>
          <w:szCs w:val="18"/>
          <w:lang w:eastAsia="ar-SA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4748"/>
      </w:tblGrid>
      <w:tr>
        <w:trPr>
          <w:trHeight w:hRule="atLeast" w:val="23"/>
          <w:cantSplit w:val="false"/>
        </w:trPr>
        <w:tc>
          <w:tcPr>
            <w:tcW w:type="dxa" w:w="474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C0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keepNext/>
              <w:suppressAutoHyphens w:val="true"/>
              <w:spacing w:after="0" w:before="0" w:line="100" w:lineRule="atLeast"/>
            </w:pPr>
            <w:r>
              <w:rPr>
                <w:rFonts w:ascii="Trebuchet MS" w:cs="Trebuchet MS" w:hAnsi="Trebuchet MS"/>
                <w:b/>
                <w:i/>
                <w:sz w:val="40"/>
                <w:szCs w:val="40"/>
              </w:rPr>
              <w:t>Relazione finale</w:t>
            </w:r>
            <w:r>
              <w:rPr>
                <w:rFonts w:ascii="Lucida Handwriting" w:cs="Times New Roman" w:eastAsia="Times New Roman" w:hAnsi="Lucida Handwriting"/>
                <w:b/>
                <w:i/>
                <w:sz w:val="24"/>
                <w:szCs w:val="20"/>
                <w:lang w:eastAsia="ar-SA"/>
              </w:rPr>
              <w:t xml:space="preserve">  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74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C0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</w:pPr>
            <w:r>
              <w:rPr>
                <w:rFonts w:ascii="Trebuchet MS" w:cs="Times New Roman" w:eastAsia="Times New Roman" w:hAnsi="Trebuchet MS"/>
                <w:b/>
                <w:bCs/>
                <w:caps/>
                <w:lang w:eastAsia="ar-SA"/>
              </w:rPr>
              <w:t>Funzione strumentale: Autovalutazione di istituto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56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AREA DI RIFERIMENTO</w:t>
            </w:r>
          </w:p>
        </w:tc>
        <w:tc>
          <w:tcPr>
            <w:tcW w:type="dxa" w:w="492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  <w:jc w:val="both"/>
            </w:pPr>
            <w:r>
              <w:rPr/>
              <w:fldChar w:fldCharType="begin"/>
            </w:r>
            <w:r>
              <w:instrText> FILLIN "Testo1"</w:instrText>
            </w:r>
            <w:r>
              <w:fldChar w:fldCharType="separate"/>
            </w:r>
            <w:r/>
            <w:r>
              <w:fldChar w:fldCharType="end"/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56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  <w:jc w:val="both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REFERENTE</w:t>
            </w:r>
          </w:p>
        </w:tc>
        <w:tc>
          <w:tcPr>
            <w:tcW w:type="dxa" w:w="492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  <w:jc w:val="both"/>
            </w:pPr>
            <w:r>
              <w:rPr/>
              <w:fldChar w:fldCharType="begin"/>
            </w:r>
            <w:r>
              <w:instrText> FILLIN "Testo2"</w:instrText>
            </w:r>
            <w:r>
              <w:fldChar w:fldCharType="separate"/>
            </w:r>
            <w:r/>
            <w:r>
              <w:fldChar w:fldCharType="end"/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56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  <w:jc w:val="both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RICOPRE TALE FUNZIONE</w:t>
            </w:r>
          </w:p>
        </w:tc>
        <w:tc>
          <w:tcPr>
            <w:tcW w:type="dxa" w:w="492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  <w:jc w:val="both"/>
            </w:pPr>
            <w:r>
              <w:rPr>
                <w:rFonts w:cs="Times New Roman" w:eastAsia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cs="Times New Roman" w:eastAsia="Times New Roman"/>
                <w:sz w:val="28"/>
                <w:szCs w:val="28"/>
                <w:lang w:eastAsia="ar-SA"/>
              </w:rPr>
              <w:t>4 anni</w:t>
            </w:r>
            <w:r>
              <w:rPr>
                <w:rFonts w:cs="Times New Roman" w:eastAsia="Times New Roman"/>
                <w:lang w:eastAsia="ar-SA"/>
              </w:rPr>
              <w:t>  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  <w:t>Tutta la progettazione nel corso degli anni è scaturita dalla scelta del  Dirigenza  e del Collegio Docenti di attuare un’autovalutazione sostanziale e non formale nella convinzione che solo un’autoanalisi  condivisa, diffusa e partecipata  potesse  portare reali vantaggi alla scuola e l’aiutasse ha ottimizzare risorse evidenziando l’eccellenza del fare quotidiano.</w:t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  <w:t>Pertanto nel corso di questi anni si è cercato di diffondere una cultura autovalutativa condivisa attraverso la ricerca di modelli di progettazione, monitoraggio e rendicontazione che oltre alla loro funzione intrinseca potessero contribuire alla creazione di un linguaggio comune e all’instaurazione di processi di reporting trasversale semplici e di facile fruibilità tutto in un ottica proattiva.</w:t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  <w:t>Inoltre si è  tentato di evitare uno degli errori più comuni in cui le scuole incorrono quando iniziano un cammino auto-valutativo: la produzione cartacea di documenti in cui si raccolgono dati e statistiche senza un’ottica di sistema volta al monitoraggio per il riesame e dunque al miglioramento.</w:t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  <w:t>Il percorso intrapreso talvolta ha subito inevitabili rallentamenti, la ricerca di condivisione necessita a priori ricerca del consenso e il processo autovalutativo molto spesso viene associato a stereotipi</w:t>
      </w:r>
      <w:r>
        <w:rPr/>
        <w:t xml:space="preserve"> </w:t>
      </w:r>
      <w:r>
        <w:rPr>
          <w:sz w:val="28"/>
          <w:szCs w:val="28"/>
        </w:rPr>
        <w:t>, resistenze, percezioni negative, Si è dunque legittimato il processo di autoanalisi attraverso l’informare e il fare ponendo così le basi per la  creazione di  una modalità auto-valutativa sistematica, diffusa, e condivisa.</w:t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9498"/>
      </w:tblGrid>
      <w:tr>
        <w:trPr>
          <w:trHeight w:hRule="atLeast" w:val="23"/>
          <w:cantSplit w:val="false"/>
        </w:trPr>
        <w:tc>
          <w:tcPr>
            <w:tcW w:type="dxa" w:w="94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keepNext/>
              <w:suppressAutoHyphens w:val="true"/>
              <w:spacing w:after="0" w:before="0" w:line="100" w:lineRule="atLeast"/>
            </w:pPr>
            <w:r>
              <w:rPr>
                <w:rFonts w:ascii="Trebuchet MS" w:cs="Trebuchet MS" w:hAnsi="Trebuchet MS"/>
                <w:b/>
                <w:i/>
                <w:sz w:val="40"/>
                <w:szCs w:val="40"/>
              </w:rPr>
              <w:t>Report finale- sintesi</w:t>
            </w:r>
            <w:r>
              <w:rPr>
                <w:rFonts w:ascii="Lucida Handwriting" w:cs="Times New Roman" w:eastAsia="Times New Roman" w:hAnsi="Lucida Handwriting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94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</w:pPr>
            <w:r>
              <w:rPr>
                <w:rFonts w:ascii="Trebuchet MS" w:cs="Times New Roman" w:eastAsia="Times New Roman" w:hAnsi="Trebuchet MS"/>
                <w:b/>
                <w:bCs/>
                <w:caps/>
                <w:lang w:eastAsia="ar-SA"/>
              </w:rPr>
              <w:t>Funzione strumentale: Autovalutazione di istituto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94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uppressAutoHyphens w:val="true"/>
              <w:spacing w:after="60" w:before="60" w:line="100" w:lineRule="atLeast"/>
            </w:pPr>
            <w:r>
              <w:rPr>
                <w:rFonts w:ascii="Trebuchet MS" w:cs="Times New Roman" w:eastAsia="Times New Roman" w:hAnsi="Trebuchet MS"/>
                <w:b/>
                <w:bCs/>
                <w:caps/>
                <w:lang w:eastAsia="ar-SA"/>
              </w:rPr>
              <w:t>REFERENTE: PROF: M: BERRA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tbl>
      <w:tblPr>
        <w:jc w:val="left"/>
        <w:tblInd w:type="dxa" w:w="-108"/>
        <w:tblBorders/>
      </w:tblPr>
      <w:tblGrid>
        <w:gridCol w:w="3202"/>
      </w:tblGrid>
      <w:tr>
        <w:trPr>
          <w:cantSplit w:val="false"/>
        </w:trPr>
        <w:tc>
          <w:tcPr>
            <w:tcW w:type="dxa" w:w="320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5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strutturata</w:t>
            </w:r>
          </w:p>
          <w:p>
            <w:pPr>
              <w:pStyle w:val="style0"/>
              <w:spacing w:after="28" w:before="28" w:line="15" w:lineRule="atLeast"/>
            </w:pPr>
            <w:r>
              <w:rPr>
                <w:sz w:val="28"/>
                <w:szCs w:val="28"/>
              </w:rPr>
              <w:t>Obiettivo specifico A1: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eastAsia="it-IT"/>
              </w:rPr>
              <w:t xml:space="preserve"> ) Diagnosi organizzativa sistematica e autoanalisi di istituto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</w:t>
            </w:r>
          </w:p>
        </w:tc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prioritario</w:t>
            </w:r>
          </w:p>
        </w:tc>
        <w:tc>
          <w:tcPr>
            <w:tcW w:type="dxa" w:w="30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si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</w:t>
            </w:r>
          </w:p>
        </w:tc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trasversale</w:t>
            </w:r>
          </w:p>
        </w:tc>
        <w:tc>
          <w:tcPr>
            <w:tcW w:type="dxa" w:w="30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si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</w:t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Creazione- presentazione collegio docenti </w:t>
            </w:r>
            <w:r>
              <w:rPr>
                <w:b/>
              </w:rPr>
              <w:t>documento di sintesi  report autovalutazione triennale</w:t>
            </w:r>
            <w:r>
              <w:rPr/>
              <w:t xml:space="preserve"> con analisi  </w:t>
            </w:r>
            <w:r>
              <w:rPr>
                <w:b/>
              </w:rPr>
              <w:t>SWOT scuola</w:t>
            </w:r>
            <w:r>
              <w:rPr/>
              <w:t xml:space="preserve"> e proposte linee di indirizzo future(</w:t>
            </w:r>
            <w:r>
              <w:rPr>
                <w:b/>
              </w:rPr>
              <w:t>Vision</w:t>
            </w:r>
            <w:r>
              <w:rPr/>
              <w:t xml:space="preserve">). </w:t>
            </w:r>
          </w:p>
          <w:p>
            <w:pPr>
              <w:pStyle w:val="style0"/>
            </w:pPr>
            <w:r>
              <w:rPr/>
              <w:t xml:space="preserve"> </w:t>
            </w:r>
            <w:r>
              <w:rPr/>
              <w:t>Tale approccio permette inoltre di focalizzare con  maggiore chiarezza le eventuali  richieste a:  Dirigenza, sindacati, famiglie, territorio, Invalsi ed altri stakeholders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Risultati attesi</w:t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Consapevolezza del processo auto-valutativo ed avvicinamento 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Indicatori</w:t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Indicatore diffusione:</w:t>
            </w:r>
          </w:p>
          <w:p>
            <w:pPr>
              <w:pStyle w:val="style27"/>
              <w:jc w:val="both"/>
            </w:pPr>
            <w:r>
              <w:rPr/>
              <w:t>-Unità di misura :  n soggetti raggiunti dall’informazione/ n. totale(collegio docenti);</w:t>
            </w:r>
          </w:p>
          <w:p>
            <w:pPr>
              <w:pStyle w:val="style27"/>
              <w:jc w:val="both"/>
            </w:pPr>
            <w:r>
              <w:rPr/>
              <w:t>-Standard : 100%</w:t>
            </w:r>
          </w:p>
          <w:p>
            <w:pPr>
              <w:pStyle w:val="style27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Controllo:</w:t>
            </w:r>
          </w:p>
          <w:p>
            <w:pPr>
              <w:pStyle w:val="style27"/>
              <w:jc w:val="both"/>
            </w:pPr>
            <w:r>
              <w:rPr/>
              <w:t>-responsabilità: prof. Berra</w:t>
            </w:r>
          </w:p>
          <w:p>
            <w:pPr>
              <w:pStyle w:val="style27"/>
              <w:jc w:val="both"/>
            </w:pPr>
            <w:r>
              <w:rPr/>
              <w:t>-periodicità settembre 2012</w:t>
            </w:r>
          </w:p>
          <w:p>
            <w:pPr>
              <w:pStyle w:val="style27"/>
              <w:jc w:val="both"/>
            </w:pPr>
            <w:r>
              <w:rPr/>
              <w:t>-documentazione: verbale collegio docenti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raggiunte e la percentuale stimata di raggiungimento delle aspettative</w:t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Condivisione attesa :60%</w:t>
            </w:r>
          </w:p>
          <w:p>
            <w:pPr>
              <w:pStyle w:val="style0"/>
            </w:pPr>
            <w:r>
              <w:rPr/>
              <w:t xml:space="preserve"> </w:t>
            </w:r>
            <w:r>
              <w:rPr/>
              <w:t>Condivisione raggiunta 80%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Attivita’</w:t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Analisi swot istituto</w:t>
            </w:r>
          </w:p>
        </w:tc>
      </w:tr>
      <w:tr>
        <w:trPr>
          <w:cantSplit w:val="false"/>
        </w:trPr>
        <w:tc>
          <w:tcPr>
            <w:tcW w:type="dxa" w:w="320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Analisi swot  I.C. Manzoni - sintesi</w:t>
            </w:r>
          </w:p>
        </w:tc>
      </w:tr>
      <w:tr>
        <w:trPr>
          <w:cantSplit w:val="false"/>
        </w:trPr>
        <w:tc>
          <w:tcPr>
            <w:tcW w:type="dxa" w:w="32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PUNTI DI FORZA (S)</w:t>
            </w:r>
          </w:p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</w:r>
          </w:p>
        </w:tc>
        <w:tc>
          <w:tcPr>
            <w:tcW w:type="dxa" w:w="31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</w:pPr>
            <w:r>
              <w:rPr>
                <w:b/>
                <w:bCs/>
              </w:rPr>
              <w:t>Immagine e reputazione della scuola</w:t>
            </w:r>
          </w:p>
          <w:p>
            <w:pPr>
              <w:pStyle w:val="style0"/>
              <w:numPr>
                <w:ilvl w:val="0"/>
                <w:numId w:val="3"/>
              </w:numPr>
            </w:pPr>
            <w:r>
              <w:rPr>
                <w:b/>
                <w:bCs/>
              </w:rPr>
              <w:t>Accoglienza;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Inclusione;</w:t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b/>
                <w:bCs/>
              </w:rPr>
              <w:t>Pari opportunità;</w:t>
            </w:r>
          </w:p>
          <w:p>
            <w:pPr>
              <w:pStyle w:val="style0"/>
              <w:numPr>
                <w:ilvl w:val="0"/>
                <w:numId w:val="6"/>
              </w:numPr>
            </w:pPr>
            <w:r>
              <w:rPr>
                <w:b/>
                <w:bCs/>
              </w:rPr>
              <w:t>Fortissimo commitment Individuale dei singoli docenti;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b/>
                <w:bCs/>
              </w:rPr>
              <w:t>Flessibilità e ricchezza dell’Offerta Formativa;</w:t>
            </w:r>
          </w:p>
          <w:p>
            <w:pPr>
              <w:pStyle w:val="style0"/>
              <w:numPr>
                <w:ilvl w:val="0"/>
                <w:numId w:val="8"/>
              </w:numPr>
            </w:pPr>
            <w:r>
              <w:rPr>
                <w:b/>
                <w:bCs/>
              </w:rPr>
              <w:t>Integrazione con il territorio;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b/>
                <w:bCs/>
              </w:rPr>
              <w:t>Capacita’ progettuale ;</w:t>
            </w:r>
          </w:p>
          <w:p>
            <w:pPr>
              <w:pStyle w:val="style0"/>
              <w:numPr>
                <w:ilvl w:val="0"/>
                <w:numId w:val="10"/>
              </w:numPr>
            </w:pPr>
            <w:r>
              <w:rPr>
                <w:b/>
                <w:bCs/>
              </w:rPr>
              <w:t>Lettura bisogni formativi allievi e territorio;</w:t>
            </w:r>
          </w:p>
          <w:p>
            <w:pPr>
              <w:pStyle w:val="style0"/>
              <w:numPr>
                <w:ilvl w:val="0"/>
                <w:numId w:val="11"/>
              </w:numPr>
            </w:pPr>
            <w:r>
              <w:rPr>
                <w:b/>
                <w:bCs/>
              </w:rPr>
              <w:t>Reticolo di relazioni ;</w:t>
            </w:r>
          </w:p>
          <w:p>
            <w:pPr>
              <w:pStyle w:val="style0"/>
              <w:numPr>
                <w:ilvl w:val="0"/>
                <w:numId w:val="12"/>
              </w:numPr>
            </w:pPr>
            <w:r>
              <w:rPr>
                <w:b/>
                <w:bCs/>
              </w:rPr>
              <w:t>Altissime professionalita’;</w:t>
            </w:r>
          </w:p>
          <w:p>
            <w:pPr>
              <w:pStyle w:val="style0"/>
              <w:numPr>
                <w:ilvl w:val="0"/>
                <w:numId w:val="12"/>
              </w:numPr>
            </w:pPr>
            <w:r>
              <w:rPr>
                <w:b/>
                <w:bCs/>
              </w:rPr>
              <w:t>Trasparenza procedure;</w:t>
            </w:r>
          </w:p>
          <w:p>
            <w:pPr>
              <w:pStyle w:val="style0"/>
              <w:numPr>
                <w:ilvl w:val="0"/>
                <w:numId w:val="12"/>
              </w:numPr>
            </w:pPr>
            <w:r>
              <w:rPr/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Reale coinvolgimento delle decisioni;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tbl>
      <w:tblPr>
        <w:jc w:val="left"/>
        <w:tblInd w:type="dxa" w:w="-108"/>
        <w:tblBorders/>
      </w:tblPr>
      <w:tblGrid>
        <w:gridCol w:w="3226"/>
        <w:gridCol w:w="6551"/>
      </w:tblGrid>
      <w:tr>
        <w:trPr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OPPORTUNITA’(O)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655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13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>Autonomia;</w:t>
            </w:r>
          </w:p>
          <w:p>
            <w:pPr>
              <w:pStyle w:val="style0"/>
              <w:numPr>
                <w:ilvl w:val="0"/>
                <w:numId w:val="14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 xml:space="preserve">P.O.F       BILANCIO SOCIALE </w:t>
            </w:r>
          </w:p>
          <w:p>
            <w:pPr>
              <w:pStyle w:val="style0"/>
              <w:numPr>
                <w:ilvl w:val="0"/>
                <w:numId w:val="15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 xml:space="preserve"> </w:t>
            </w:r>
            <w:r>
              <w:rPr>
                <w:rFonts w:cs="Times New Roman" w:eastAsia="Times New Roman"/>
                <w:b/>
                <w:bCs/>
                <w:lang w:eastAsia="ar-SA"/>
              </w:rPr>
              <w:t>Networking (relazioni);</w:t>
            </w:r>
          </w:p>
          <w:p>
            <w:pPr>
              <w:pStyle w:val="style0"/>
              <w:numPr>
                <w:ilvl w:val="0"/>
                <w:numId w:val="16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>Innovazione;</w:t>
            </w:r>
          </w:p>
          <w:p>
            <w:pPr>
              <w:pStyle w:val="style0"/>
              <w:numPr>
                <w:ilvl w:val="0"/>
                <w:numId w:val="17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 xml:space="preserve"> </w:t>
            </w:r>
            <w:r>
              <w:rPr>
                <w:rFonts w:cs="Times New Roman" w:eastAsia="Times New Roman"/>
                <w:b/>
                <w:bCs/>
                <w:lang w:eastAsia="ar-SA"/>
              </w:rPr>
              <w:t>Crescente attivazione di nodi di rete da inserire come   co-produttori di servizi ;</w:t>
            </w:r>
          </w:p>
          <w:p>
            <w:pPr>
              <w:pStyle w:val="style0"/>
              <w:numPr>
                <w:ilvl w:val="0"/>
                <w:numId w:val="18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>Implementazione database competenze personale;</w:t>
            </w:r>
          </w:p>
          <w:p>
            <w:pPr>
              <w:pStyle w:val="style0"/>
              <w:numPr>
                <w:ilvl w:val="0"/>
                <w:numId w:val="19"/>
              </w:numPr>
            </w:pPr>
            <w:r>
              <w:rPr>
                <w:rFonts w:cs="Times New Roman" w:eastAsia="Times New Roman"/>
                <w:b/>
                <w:bCs/>
                <w:lang w:eastAsia="ar-SA"/>
              </w:rPr>
              <w:t>Miglioramento delle azioni di tutorato anche attraverso la costruzione di reti a supporto problematiche rilevate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  <w:sz w:val="28"/>
                <w:szCs w:val="28"/>
              </w:rPr>
              <w:t>DEBOLEZZE (W)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655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0"/>
              </w:numPr>
              <w:jc w:val="both"/>
            </w:pPr>
            <w:r>
              <w:rPr>
                <w:b/>
                <w:bCs/>
              </w:rPr>
              <w:t>Poca visibilità delle innovazioni e diffusioni delle best</w:t>
            </w:r>
          </w:p>
          <w:p>
            <w:pPr>
              <w:pStyle w:val="style0"/>
              <w:jc w:val="both"/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practices;</w:t>
            </w:r>
          </w:p>
          <w:p>
            <w:pPr>
              <w:pStyle w:val="style0"/>
              <w:numPr>
                <w:ilvl w:val="0"/>
                <w:numId w:val="21"/>
              </w:numPr>
              <w:jc w:val="both"/>
            </w:pPr>
            <w:r>
              <w:rPr>
                <w:b/>
                <w:bCs/>
              </w:rPr>
              <w:t>Mancanza di coordinamento di tutte le proposte individuali;</w:t>
            </w:r>
          </w:p>
          <w:p>
            <w:pPr>
              <w:pStyle w:val="style0"/>
              <w:numPr>
                <w:ilvl w:val="0"/>
                <w:numId w:val="22"/>
              </w:numPr>
              <w:jc w:val="both"/>
            </w:pPr>
            <w:r>
              <w:rPr/>
              <w:t xml:space="preserve"> </w:t>
            </w:r>
            <w:r>
              <w:rPr>
                <w:b/>
                <w:bCs/>
              </w:rPr>
              <w:t>Bassa capitalizzazione esperienze;</w:t>
            </w:r>
          </w:p>
          <w:p>
            <w:pPr>
              <w:pStyle w:val="style0"/>
              <w:numPr>
                <w:ilvl w:val="0"/>
                <w:numId w:val="23"/>
              </w:numPr>
              <w:jc w:val="both"/>
            </w:pPr>
            <w:r>
              <w:rPr>
                <w:b/>
                <w:bCs/>
              </w:rPr>
              <w:t xml:space="preserve">Assenza database competenze personale; </w:t>
            </w:r>
          </w:p>
          <w:p>
            <w:pPr>
              <w:pStyle w:val="style0"/>
              <w:numPr>
                <w:ilvl w:val="0"/>
                <w:numId w:val="24"/>
              </w:numPr>
              <w:jc w:val="both"/>
            </w:pPr>
            <w:r>
              <w:rPr>
                <w:b/>
                <w:bCs/>
              </w:rPr>
              <w:t>Assente correlazione e fruizione strategica database competenze/bisogni;</w:t>
            </w:r>
          </w:p>
          <w:p>
            <w:pPr>
              <w:pStyle w:val="style0"/>
              <w:numPr>
                <w:ilvl w:val="0"/>
                <w:numId w:val="25"/>
              </w:numPr>
              <w:jc w:val="both"/>
            </w:pPr>
            <w:r>
              <w:rPr>
                <w:b/>
                <w:bCs/>
              </w:rPr>
              <w:t>Pari opportunità –valorizzazione eccellenze alunni(dare maggiore visibilita’)</w:t>
            </w:r>
          </w:p>
          <w:p>
            <w:pPr>
              <w:pStyle w:val="style0"/>
              <w:ind w:hanging="0" w:left="360" w:right="0"/>
              <w:jc w:val="both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  <w:sz w:val="28"/>
                <w:szCs w:val="28"/>
              </w:rPr>
              <w:t>MINACCE (T)</w:t>
            </w:r>
          </w:p>
        </w:tc>
        <w:tc>
          <w:tcPr>
            <w:tcW w:type="dxa" w:w="655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Incertezza/ambiguità nel quadro normativo di riferimento;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Risorse finanziarie «certe» in diminuzione;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Progressivo assottigliamento delle risorse finanziarie ministeriali;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Riduzione delle risorse di organico;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Misure a decisione nazionale di razionalizzazione e riduzione dei docenti e delle relative compresenze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Recessione economica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Mancanza di fondi per la manutenzione ordinaria;</w:t>
            </w:r>
          </w:p>
          <w:p>
            <w:pPr>
              <w:pStyle w:val="style0"/>
              <w:numPr>
                <w:ilvl w:val="0"/>
                <w:numId w:val="26"/>
              </w:numPr>
              <w:jc w:val="both"/>
            </w:pPr>
            <w:r>
              <w:rPr>
                <w:b/>
                <w:bCs/>
              </w:rPr>
              <w:t>Mancanza di fondi per l’edilizia scolastica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8"/>
          <w:szCs w:val="28"/>
        </w:rPr>
      </w:r>
    </w:p>
    <w:tbl>
      <w:tblPr>
        <w:jc w:val="left"/>
        <w:tblInd w:type="dxa" w:w="-108"/>
        <w:tblBorders/>
      </w:tblPr>
      <w:tblGrid>
        <w:gridCol w:w="4888"/>
      </w:tblGrid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5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strutturata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  <w:t>Obiettivo specifico A2: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cs="Arial" w:eastAsia="Times New Roman" w:hAnsi="Arial"/>
                <w:b/>
                <w:i/>
                <w:color w:val="000000"/>
                <w:sz w:val="24"/>
                <w:szCs w:val="24"/>
                <w:lang w:eastAsia="it-IT"/>
              </w:rPr>
              <w:t>Creazione strumenti di rendicontazione per il riesame della direzione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Prioritario e trasversale 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Finalità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La necessità di avere strumenti di rendicontazione comune in un ottica di riesame strutturato e condiviso che inoltre permetta una comparazione e condivisione di dati.</w:t>
            </w:r>
          </w:p>
          <w:p>
            <w:pPr>
              <w:pStyle w:val="style0"/>
            </w:pPr>
            <w:r>
              <w:rPr/>
              <w:t xml:space="preserve"> </w:t>
            </w:r>
            <w:r>
              <w:rPr/>
              <w:t>L’instaurarsi di un approccio valutativo strutturato che permetta una progettazione un monitoraggio e una rendicontazione consapevole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Indicatore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Indicatore qualitativo</w:t>
            </w:r>
            <w:r>
              <w:rPr/>
              <w:t>: feed back dei singoli referenti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sono state raggiunte, e la percentuale stimata di raggiungimento delle aspettative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Le finalità dell’obiettivo sono state raggiunte 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Attività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Creazione check list autovalutazione monitoraggio funzioni strumentali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5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strutturata- Vision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 specifico A 3: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cs="Arial" w:eastAsia="Times New Roman" w:hAnsi="Arial"/>
                <w:b/>
                <w:i/>
                <w:color w:val="000000"/>
                <w:sz w:val="24"/>
                <w:szCs w:val="24"/>
                <w:lang w:eastAsia="it-IT"/>
              </w:rPr>
              <w:t>Fund raising- Fondi diretti europei 2014-2020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Finalità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La scarsità di risorse finanziarie istituzionali  necessita di un processo strutturato di fund raising che ha portato all’individuazione dei fondi diretti europei come risorsa importante e prioritaria. Tuttavia per accedere a tali fondi è necessaria una competenza di progettazione specifica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sono state raggiunte, e la percentuale stimata di raggiungimento delle aspettative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Le finalità dell’obiettivo sono state raggiunte attraverso il corso intensivo promosso dall’EIPA a cui la referente ha partecipato.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strutturata- Vision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 specifico A4: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eastAsia="it-IT"/>
              </w:rPr>
              <w:t xml:space="preserve">  Supporto alle  funzioni strumentali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Finalità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Mettere a disposizione competenze e buone prassi per fare insieme e fare meglio, abbattendo “facendo” il limite maggiore che ostacola il processo auto-valutativo: la percezione scorretta che questo comporti un sovraccarico di lavoro quando invece è nato per ottimizzare tempo e risorse in un ottica di miglioramento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Indicatori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Indicatore richieste collaborazione:</w:t>
            </w:r>
          </w:p>
          <w:p>
            <w:pPr>
              <w:pStyle w:val="style0"/>
            </w:pPr>
            <w:r>
              <w:rPr/>
              <w:t>Unità di misura n.richieste / n. tot F.S   45%</w:t>
            </w:r>
          </w:p>
          <w:p>
            <w:pPr>
              <w:pStyle w:val="style0"/>
            </w:pPr>
            <w:r>
              <w:rPr>
                <w:b/>
              </w:rPr>
              <w:t>Indicatore collaborazioni attivate</w:t>
            </w:r>
          </w:p>
          <w:p>
            <w:pPr>
              <w:pStyle w:val="style0"/>
            </w:pPr>
            <w:r>
              <w:rPr/>
              <w:t>Unità di misura : N. collab attivate/ n. tot  F.S.   43%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sono state raggiunte, e la percentuale stimata di raggiungimento delle aspettative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Atteso: 50%</w:t>
            </w:r>
          </w:p>
          <w:p>
            <w:pPr>
              <w:pStyle w:val="style0"/>
            </w:pPr>
            <w:r>
              <w:rPr/>
              <w:t>Raggiunto 50%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strutturata- Vision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5" w:lineRule="atLeast"/>
            </w:pPr>
            <w:r>
              <w:rPr>
                <w:sz w:val="28"/>
                <w:szCs w:val="28"/>
              </w:rPr>
              <w:t xml:space="preserve">Obiettivo specifico A 6 : </w:t>
            </w:r>
            <w:r>
              <w:rPr>
                <w:rFonts w:ascii="Arial" w:cs="Arial" w:eastAsia="Times New Roman" w:hAnsi="Arial"/>
                <w:b/>
                <w:i/>
                <w:color w:val="000000"/>
                <w:sz w:val="24"/>
                <w:szCs w:val="24"/>
                <w:lang w:eastAsia="it-IT"/>
              </w:rPr>
              <w:t>Aggiornamento e mantenimento certificazioni del referente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Finalità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La qualità del servizio offerto alla scuola come referente autovalutazione passa anche attraverso la conoscenza dei modelli valutativi nazionali ed internazionali sia delle organizzazioni profit che di quelle no profit e il loro continuo aggiornamento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Indicatori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Indicatori si/no</w:t>
            </w:r>
          </w:p>
          <w:p>
            <w:pPr>
              <w:pStyle w:val="style0"/>
            </w:pPr>
            <w:r>
              <w:rPr/>
              <w:t>Conoscenza modelli valutativi e loro aggiornamento</w:t>
            </w:r>
          </w:p>
          <w:p>
            <w:pPr>
              <w:pStyle w:val="style0"/>
            </w:pPr>
            <w:r>
              <w:rPr/>
              <w:t>EFQM si        Auditor EFQM Si</w:t>
            </w:r>
          </w:p>
          <w:p>
            <w:pPr>
              <w:pStyle w:val="style0"/>
            </w:pPr>
            <w:r>
              <w:rPr/>
              <w:t>Iso si              Auditor interno ISO si</w:t>
            </w:r>
          </w:p>
          <w:p>
            <w:pPr>
              <w:pStyle w:val="style0"/>
            </w:pPr>
            <w:r>
              <w:rPr/>
              <w:t>CAF si</w:t>
            </w:r>
          </w:p>
          <w:p>
            <w:pPr>
              <w:pStyle w:val="style0"/>
            </w:pPr>
            <w:r>
              <w:rPr/>
              <w:t>Marchio SAPERI       Auditor  in affianchiamento SI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sono state raggiunte, e la percentuale stimata di raggiungimento delle aspettative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100%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5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4"/>
                <w:szCs w:val="24"/>
                <w:lang w:eastAsia="it-IT"/>
              </w:rPr>
              <w:t>OBIETTIVO GENERALE : Autovalutazione d’istituto - Creare strumenti di monitoraggio e identificare alcuni indicatori</w:t>
            </w:r>
          </w:p>
        </w:tc>
      </w:tr>
      <w:tr>
        <w:trPr>
          <w:cantSplit w:val="false"/>
        </w:trPr>
        <w:tc>
          <w:tcPr>
            <w:tcW w:type="dxa" w:w="48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Obiettivo specifico A 7 : Monitoraggio intangibile della qualità degli apprendimenti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Finalità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Monitorare i tanti punti di forza dell’istituto che danno un imprinting specifico alla scuola e non sono ancora stati misurati. Ciò accade perché si ha percezione dell’intangibile ma non si riesca a misurarlo, essendo non direttamente riconducibile alla valutazione degli apprendimenti.</w:t>
            </w:r>
          </w:p>
          <w:p>
            <w:pPr>
              <w:pStyle w:val="style0"/>
            </w:pPr>
            <w:r>
              <w:rPr/>
              <w:t>Creazione  del modello (allegato Ramia ) e sua distribuzione ai docenti referenti  dei progetti e dei laboratori.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Finalità dell’obiettivo sono state raggiunte, e la percentuale stimata di raggiungimento delle aspettative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numPr>
                <w:ilvl w:val="0"/>
                <w:numId w:val="27"/>
              </w:numPr>
            </w:pPr>
            <w:r>
              <w:rPr/>
              <w:t>Valorizzare l’intangibile</w:t>
            </w:r>
          </w:p>
          <w:p>
            <w:pPr>
              <w:pStyle w:val="style27"/>
              <w:numPr>
                <w:ilvl w:val="0"/>
                <w:numId w:val="27"/>
              </w:numPr>
            </w:pPr>
            <w:r>
              <w:rPr/>
              <w:t>Monitoraggio dell’intangibile</w:t>
            </w:r>
          </w:p>
          <w:p>
            <w:pPr>
              <w:pStyle w:val="style0"/>
            </w:pPr>
            <w:r>
              <w:rPr/>
              <w:t>Stimolare ad una progettazione auto-valutativa che tenga conto di quanto l’intangibile valorizzi il raggiungimento delle competenze</w:t>
            </w:r>
          </w:p>
        </w:tc>
      </w:tr>
      <w:tr>
        <w:trPr>
          <w:cantSplit w:val="false"/>
        </w:trPr>
        <w:tc>
          <w:tcPr>
            <w:tcW w:type="dxa" w:w="32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rebuchet MS" w:cs="Times New Roman" w:eastAsia="Times New Roman" w:hAnsi="Trebuchet MS"/>
                <w:b/>
                <w:bCs/>
                <w:lang w:eastAsia="ar-SA"/>
              </w:rPr>
              <w:t>Prodotti</w:t>
            </w:r>
          </w:p>
        </w:tc>
        <w:tc>
          <w:tcPr>
            <w:tcW w:type="dxa" w:w="6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Allegato Ramia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sectPr>
      <w:footerReference r:id="rId4" w:type="default"/>
      <w:type w:val="nextPage"/>
      <w:pgSz w:h="16838" w:w="11906"/>
      <w:pgMar w:bottom="1417" w:footer="708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right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26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ejaVu Sans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sz w:val="22"/>
      <w:szCs w:val="22"/>
    </w:rPr>
  </w:style>
  <w:style w:styleId="style20" w:type="paragraph">
    <w:name w:val="Intestazione"/>
    <w:basedOn w:val="style0"/>
    <w:next w:val="style21"/>
    <w:pPr>
      <w:keepNext/>
      <w:spacing w:after="120" w:before="240"/>
    </w:pPr>
    <w:rPr>
      <w:rFonts w:ascii="Liberation Sans" w:cs="FreeSans" w:eastAsia="DejaVu Sans" w:hAnsi="Liberation Sans"/>
      <w:sz w:val="28"/>
      <w:szCs w:val="28"/>
    </w:rPr>
  </w:style>
  <w:style w:styleId="style21" w:type="paragraph">
    <w:name w:val="Corpo testo"/>
    <w:basedOn w:val="style0"/>
    <w:next w:val="style21"/>
    <w:pPr>
      <w:spacing w:after="120" w:before="0"/>
    </w:pPr>
    <w:rPr/>
  </w:style>
  <w:style w:styleId="style22" w:type="paragraph">
    <w:name w:val="Elenco"/>
    <w:basedOn w:val="style21"/>
    <w:next w:val="style22"/>
    <w:pPr/>
    <w:rPr>
      <w:rFonts w:cs="FreeSans"/>
    </w:rPr>
  </w:style>
  <w:style w:styleId="style23" w:type="paragraph">
    <w:name w:val="Didascalia"/>
    <w:basedOn w:val="style0"/>
    <w:next w:val="style23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FreeSans"/>
    </w:rPr>
  </w:style>
  <w:style w:styleId="style25" w:type="paragraph">
    <w:name w:val="Riga d'intestazione"/>
    <w:basedOn w:val="style0"/>
    <w:next w:val="style25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26" w:type="paragraph">
    <w:name w:val="Piè di pagina"/>
    <w:basedOn w:val="style0"/>
    <w:next w:val="style26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27" w:type="paragraph">
    <w:name w:val="List Paragraph"/>
    <w:basedOn w:val="style0"/>
    <w:next w:val="style27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2013-07-04T16:52:00.00Z</dcterms:created>
  <dc:creator>Berra</dc:creator>
  <cp:lastModifiedBy>Berra</cp:lastModifiedBy>
  <dcterms:modified xsi:type="dcterms:W3CDTF">2013-07-04T16:52:00.00Z</dcterms:modified>
  <cp:revision>2</cp:revision>
</cp:coreProperties>
</file>